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DE394E" w:rsidRPr="00DE394E">
              <w:rPr>
                <w:rFonts w:ascii="Arial" w:hAnsi="Arial" w:cs="Arial"/>
                <w:b/>
                <w:lang w:val="sr-Cyrl-RS"/>
              </w:rPr>
              <w:t>Послови стручне подршке у области људских ресурса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9501B" w:rsidRPr="00174C9B">
              <w:rPr>
                <w:rFonts w:ascii="Arial" w:eastAsia="Times New Roman" w:hAnsi="Arial" w:cs="Arial"/>
                <w:b/>
                <w:color w:val="000000"/>
              </w:rPr>
              <w:t>M</w:t>
            </w:r>
            <w:r w:rsidR="005E3405" w:rsidRPr="00174C9B">
              <w:rPr>
                <w:rFonts w:ascii="Arial" w:eastAsia="Times New Roman" w:hAnsi="Arial" w:cs="Arial"/>
                <w:b/>
                <w:color w:val="000000"/>
                <w:lang w:val="sr-Cyrl-RS"/>
              </w:rPr>
              <w:t>лађи 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18149E">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људске ресурсе, опште и заједничке послове, </w:t>
            </w:r>
            <w:r w:rsidR="00DE394E" w:rsidRPr="00DE394E">
              <w:rPr>
                <w:rFonts w:ascii="Arial" w:eastAsia="Calibri" w:hAnsi="Arial" w:cs="Arial"/>
                <w:kern w:val="2"/>
                <w:lang w:val="sr-Cyrl-RS"/>
                <w14:ligatures w14:val="standardContextual"/>
              </w:rPr>
              <w:t>Секретаријат за управљање људским ресурсима - Одељење за развој људских ресурса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3965A3"/>
    <w:rsid w:val="00402EB9"/>
    <w:rsid w:val="005E3405"/>
    <w:rsid w:val="00682A56"/>
    <w:rsid w:val="00750241"/>
    <w:rsid w:val="008966C1"/>
    <w:rsid w:val="00980695"/>
    <w:rsid w:val="0099501B"/>
    <w:rsid w:val="00A549B5"/>
    <w:rsid w:val="00D40135"/>
    <w:rsid w:val="00DE394E"/>
    <w:rsid w:val="00E01307"/>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1972</Words>
  <Characters>11242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2025-08-11T11:50:00Z</dcterms:created>
  <dcterms:modified xsi:type="dcterms:W3CDTF">2025-08-11T11:50:00Z</dcterms:modified>
  <dc:language>en-US</dc:language>
</cp:coreProperties>
</file>